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ДОГОВОР № ____________________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                                                     </w:t>
      </w:r>
      <w:r>
        <w:rPr>
          <w:rFonts w:ascii="Arial Narrow" w:hAnsi="Arial Narrow"/>
          <w:b/>
        </w:rPr>
        <w:t>ТРАНСПОРТНОЙ ЭКСПЕДИЦИИ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г. Люберцы                                                                                                                                           «___»_____________ 20___г.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ООО «ТЭК Меркурий», именуемое в дальнейшем «ЭКСПЕДИТОР», в лице Генерального директора Павлова Никиты Николаевича, действующего на основании Устава, с одной стороны, и _________________________________________________________________________________________________________, именуемое в дальнейшем «ЗАКАЗЧИК», в лице _____________________________________________________________________________________________________________________________________, действующего на основании __________________, с другой стороны, а вместе именуемые «СТОРОНЫ», заключили настоящий договор о нижеследующем: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1. ПРЕДМЕТ ДОГОВОРА ОБЩИЕ ПОЛОЖЕНИЯ.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1.1. В соответствии с настоящим договором ЗАКАЗЧИК поручает, а ЭКСПЕДИТОР обязуется осуществить действия по организации перевозки грузов по заявкам ЗАКАЗЧИКА всеми видами транспорта, как на территории Российской Федерации, так и на территории иностранных государств;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1.2. Грузы принимаются к экспедированию на основании транспортных накладных, оформляемых ЭКСПЕДИТОРОМ при приемке груза от ЗАКАЗЧИКА.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2. ЭКСПЕДИТОР ОБЯЗАН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2.1. Исполнить принятое им поручение с необходимым старанием, тщательно и добросовестно в интересах ЗАКАЗЧИКА;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2.2. Организовать прием груза от ЗАКАЗЧИКА  в сроки, согласованные СТОРОНАМИ;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2.3. Организовать хранение груза на складе;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2.4. Организовать проведение  работ по упаковке, маркировке, взвешиванию и хранению груза;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2.5. Организовать отправку груза в адрес ЗАКАЗЧИКА или Грузополучателя, указанных в транспортной накладной;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2.6. По отдельному поручению ЗАКАЗЧИКА заключить договор страхования груза от рисков полной гибели, утраты, повреждения груза на период его перевозки, назначив ЗАКАЗЧИКА выгодоприобретателем по договору страхования;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2.7.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транспорта, номере накладной и расчетной дате прибытия в конечный пункт;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2.8. Организовать оформление всех документов   для осуществления доставки груза перевозочных документов;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2.9. Выставлять Заказчику счета и счета-фактуры   за фактически выполненные в его интересах обязательств.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3. ЗАКАЗЧИК ОБЯЗАН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3.1. Оформить заявку на отправку груза по форме, указанной в Приложении 2.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3.2. Сообщить о готовности к отправке партии груза.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3.3. Информировать ЭКСПЕДИТОРА о желательных сроках доставки, номенклатуре, порядке и пунктах назначения отправляемого груза. По дополнительному требованию ЭКСПЕДИТОРА оперативно уточнять следующие сведения о грузе: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а) страна происхождения груза, город, почтовый адрес производителя (отправителя), контактный телефон;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б) сроки отгрузки;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в) условия перевозки;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г) количество груза;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д) номенклатура груза (включая упаковку груза, код груза);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е) вес груза;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ж) отгрузочные реквизиты отправителя и грузополучателя;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з) габариты груза;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и) иную информацию необходимую для выполнения поручения.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ЗАКАЗЧИК  несет  ответственность за предоставление недостоверной информации в размере причиненных  убытков.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3.4. Для выполнения ЭКСПЕДИТОРОМ обязательств по настоящему Договору обеспечивать его необходимой документацией, включая коммерческие инвойсы,  сертификаты, лицензии, доверенности и т.д., требующиеся для надлежащего транспортно-экспедиторского обслуживания  груза ЗАКАЗЧИКА. Предоставить полный комплект документов, необходимых для таможенного оформления и переотправки груза в соответствии с требованиями таможенного законодательства Российской Федерации;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Перечень требуемых документов и формы их заполнения согласовываются с ЭКСПЕДИТОРОМ в каждом конкретном случае.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3.5. Обеспечить ЭКСПЕДИТОРА специальными инструкциями по перевозке  и хранению грузов, требующих особых условий перевозки (скоропортящиеся, опасные, взрывчатые и т.д.).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3.6. Выполнять все инструкции ЭКСПЕДИТОРА о порядке заполнения товарно-сопроводительных документов.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3.7. Оплатить ЭКСПЕДИТОРУ стоимость экспедиторских услуг за авиаперевозку в день выставления счета, получение груза без подтверждения оплаты производиться не будет; за железнодорожную перевозку  - в течение 3 (Трех) календарных дней после отправки груза в адрес ЗАКАЗЧИКА. Датой отправки груза считать дату выставленного счета за железнодорожную перевозку.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4. РАСЧЕТЫ ПО ДОГОВОРУ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4.1. За выполнение работ,  предусмотренных  настоящим договором,  ЗАКАЗЧИК оплачивает ЭКСПЕДИТОРУ согласованную стоимость транспортно-экспедиторских услуг, размер которой определяется ЭКСПЕДИТОРОМ в каждом конкретном случае в зависимости от характеристик груза и маршрута перевозки согласно Приложению 1.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4.2. Стоимость транспортно-экспедиторских услуг  ЭКСПЕДИТОРА указывается в предоставляемых ЗАКАЗЧИКУ актах и счетах. Расчет между СТОРОНАМИ  производится в форме безналичной оплаты по счетам или наличной оплаты в кассу ЭКСПЕДИТОРА в порядке, предусмотренном законодательством.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4.3. В случае необходимости стороны обязуются проводить сверку взаиморасчетов и составление соответствующих актов.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4.4. Груз считается доставленным и обязательства ЭКСПЕДИТОРА  по договору выполненные, если ЗАКАЗЧИК не предъявил ЭКСПЕДИТОРУ претензии по доставке груза в течение  5 (Пяти) рабочих дней с момента получения груза.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5. ОТВЕТСТВЕННОСТЬ  СТОРОН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5.1. 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 РФ.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5.2. ЭКСПЕДИТОР не несет ответственности за нарушенный товарный вид груза и внутритарную недостачу содержимого грузовых мест, принятых в исправной и не нарушенной таре.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5.3. В случае нарушения ЗАКАЗЧИКОМ условий пунктов 3.1.-3.6. настоящего договора ЭКСПЕДИТОР снимает с себя ответственность за соблюдение согласованных сроков доставки груза, ЗАКАЗЧИК возмещает ЭКСПЕДИТОРУ все понесенные им расходы, в связи с изменением графика перевозки, оплате хранения груза и т.п.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5.4. ЗАКАЗЧИК несет ответственность за качество упаковки. Все расходы, понесенные ЭКСПЕДИТОРОМ, связанные с необходимостью укрепления упаковки или переупаковки груза по требованию фактического перевозчика (авиакомпании, транспортно-экспедиторской компании, ЖД - компании) возмещает ЗАКАЗЧИК.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5.6. В случае нарушения ЗАКАЗЧИКОМ сроков оплаты по настоящему договору ЗАКАЗЧИК уплачивает штрафные санкции в размере 0,3% от суммы задолженности за каждый день просрочки оплаты.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5.7. Датой начисления процентов (штрафов, пеней и других 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запрещенных к авиаперевозке, ответственность за это несет ЗАКАЗЧИК.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5.9. В случае отмены фактическим перевозчиком рейса, на котором СТОРОНЫ 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ЗАКАЗЧИК имеет право отказаться от дальнейшей перевозки груза, оплатив ЭКСПЕДИТОРУ фактически выполненную им работу.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5.10. ЭКСПЕДИТОР вправе без последствий для себя  отказать ЗАКАЗЧИКУ в принятии груза и/или оказания транспортно-экспедиторских услуг в случаях не поступления, либо поступления в неполном объеме  денежных средств в счет оплаты по настоящему договору до момента получения оплаты в полном объеме. При этом ЭКСПЕДИТОР  не будет нести никакой ответственности перед ЗАКАЗЧИКОМ, в том числе связанной с возмещением упущенной выгоды. Настоящее условие относится в том числе и к оказанным ЭКСПЕДИТОРОМ, но неоплаченным ЗАКАЗЧИКОМ услугам по настоящему Договору до момента погашения ЗАКАЗЧИКОМ задолженности в полном объеме.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5.11. В случае, если ценность груза, переданного по настоящему Договору ЗАКАЗЧИКОМ ЭКСПЕДИТОРУ превышает стоимость 2МРОТ (Законодательно, установленный минимальный размер оплаты труда) за 1 кг ЗАКАЗЧИК обязан предоставить ЭКСПЕДИТОРУ документы, подтверждающие страхование груза (полис, договор страхования и т. 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6. ПРЕКРАЩЕНИЕ ДОГОВОРА.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6.1. Настоящий Договор может быть расторгнут досрочно по соглашению СТОРОН.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6.2. Любая из СТОРОН вправе отказаться от исполнения настоящего Договора, в письменной форме предупредив другую СТОРОНУ не позднее, чем  за 30(тридцать) дней до предполагаемой  даты расторжения.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7. ФОРС-МАЖОР.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7.1. СТОРОНЫ освобождаются от ответственности  за частичное или полное неисполнение обязательств по настоящему Договору в случае действия обстоятельств непреодолимой силы (форс-мажор): стихийные бедствия, пожар, восстание, наводнение, землетрясение, военные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7.2. При возникновении обстоятельств исполнение обязательств откладывается на время действия соответствующих обстоятельств. При невозможности исполнения обстоятельств в срок свыше 2-х месяцев, каждая из СТРОРОН имеет право расторгнуть настоящий Договор. В случае расторжения договора СТОРОНЫ производят полные взаиморасчеты в пятидневный срок.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8. ПОРЯДОК РАССМОТРЕНИЯ СПОРОВ.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Все споры и разногласия, которые могут возникнуть в рамках настоящего Договора, будут решаться путем переговоров СТОРОН.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8.2. В случае невозможности достижения соглашения сторон все споры, которые могут возникнуть  в рамках настоящего договора, подлежат передаче на  рассмотрение Арбитражного суда Московской области в соответствии с действующим законодательством Российской Федерации.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9. ПРОЧИЕ УСЛОВИЯ.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9.1. Срок действия настоящего Договора начинается от даты подписания его обеими сторонами и устанавливается до _______________________года. Если ни одна из СТОРОН за 30 дней до истечения срока действия Договора не уведомит другую сторону о прекращении Договора, то Договор пролонгируется  на следующий календарный год.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9.2. Все изменения и дополнения к настоящему Договору имеют силу только в том случае, если они оформлены в письменном  виде и подписаны полномочными представителями СТОРОН.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Все приложения к настоящему Договору являются его неотъемлемой частью.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9.3. Настоящий Договор составлен на 3 листах в двух экземплярах, имеющих одинаковую юридическую силу, по одному экземпляру для  каждой из СТОРОН.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10. РЕКВИЗИТЫ СТОРОН: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ЭКСПЕДИТОР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ООО «ТЭК Меркурий»                                        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140005, Московская область, Люберецкий район, </w:t>
      </w:r>
      <w:bookmarkStart w:id="0" w:name="_GoBack"/>
      <w:bookmarkEnd w:id="0"/>
      <w:r>
        <w:rPr>
          <w:rFonts w:ascii="Arial Narrow" w:hAnsi="Arial Narrow"/>
        </w:rPr>
        <w:t>г. Люберцы, ул. Кирова, д. 20А, этаж/офис 4/403Б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ИНН/КПП 9721006100/502701001                                                           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 xml:space="preserve">Р/с 40702810002110000100  в  АО «АЛЬФА-БАНК ДО «Октябрьский проспект» г. Москва, 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к/с 30101810200000000593, БИК 044525593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ЗАКАЗЧИК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900" w:leader="none"/>
        </w:tabs>
        <w:ind w:right="1771" w:hang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11. ПОДПИСИ СТОРОН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ЭКСПЕДИТОР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  <w:color w:val="FF0000"/>
        </w:rPr>
      </w:pPr>
      <w:r>
        <w:rPr>
          <w:rFonts w:ascii="Arial Narrow" w:hAnsi="Arial Narrow"/>
          <w:b/>
          <w:color w:val="FF0000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Генеральный директор  ______________________________________   Павлов Н.Н.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</w:t>
      </w:r>
      <w:r>
        <w:rPr>
          <w:rFonts w:ascii="Arial Narrow" w:hAnsi="Arial Narrow"/>
        </w:rPr>
        <w:t>м.п.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ЗАКАЗЧИК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</w:t>
      </w:r>
      <w:r>
        <w:rPr>
          <w:rFonts w:ascii="Arial Narrow" w:hAnsi="Arial Narrow"/>
        </w:rPr>
        <w:t>м.п.</w:t>
      </w:r>
    </w:p>
    <w:p>
      <w:pPr>
        <w:pStyle w:val="Normal"/>
        <w:ind w:right="-766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-766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-766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-766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-766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right="-766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ind w:right="-766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Приложение № 1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 Narrow" w:hAnsi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  <w:b/>
        </w:rPr>
        <w:t xml:space="preserve">УТВЕРЖДАЮ: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 Narrow" w:hAnsi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  <w:b/>
        </w:rPr>
        <w:t>Генеральный директор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ООО «ТЭК Меркурий»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_________________  Павлов Н.Н.</w:t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 Narrow" w:ascii="Arial Narrow" w:hAnsi="Arial Narrow"/>
          <w:b/>
        </w:rPr>
        <w:t>с 0</w:t>
      </w:r>
      <w:r>
        <w:rPr>
          <w:rFonts w:cs="Arial Narrow" w:ascii="Arial Narrow" w:hAnsi="Arial Narrow"/>
          <w:b/>
          <w:lang w:val="en-US"/>
        </w:rPr>
        <w:t>1</w:t>
      </w:r>
      <w:r>
        <w:rPr>
          <w:rFonts w:cs="Arial Narrow" w:ascii="Arial Narrow" w:hAnsi="Arial Narrow"/>
          <w:b/>
          <w:lang w:val="ru-RU"/>
        </w:rPr>
        <w:t xml:space="preserve"> </w:t>
      </w:r>
      <w:r>
        <w:rPr>
          <w:rFonts w:cs="Arial Narrow" w:ascii="Arial Narrow" w:hAnsi="Arial Narrow"/>
          <w:b/>
          <w:lang w:val="en-US"/>
        </w:rPr>
        <w:t>н</w:t>
      </w:r>
      <w:r>
        <w:rPr>
          <w:rFonts w:cs="Arial Narrow" w:ascii="Arial Narrow" w:hAnsi="Arial Narrow"/>
          <w:b/>
          <w:lang w:val="ru-RU"/>
        </w:rPr>
        <w:t xml:space="preserve">оябрь </w:t>
      </w:r>
      <w:r>
        <w:rPr>
          <w:rFonts w:cs="Arial Narrow" w:ascii="Arial Narrow" w:hAnsi="Arial Narrow"/>
          <w:b/>
        </w:rPr>
        <w:t>2019г.</w:t>
      </w:r>
    </w:p>
    <w:p>
      <w:pPr>
        <w:pStyle w:val="Normal"/>
        <w:jc w:val="center"/>
        <w:rPr/>
      </w:pPr>
      <w:r>
        <w:rPr>
          <w:rFonts w:cs="Arial Narrow" w:ascii="Arial Narrow" w:hAnsi="Arial Narrow"/>
          <w:b/>
        </w:rPr>
        <w:t xml:space="preserve">МО, Люберецкий район, г. Люберцы, ул. Кирова, дом №20А, оф 403б </w:t>
      </w:r>
    </w:p>
    <w:p>
      <w:pPr>
        <w:pStyle w:val="Normal"/>
        <w:jc w:val="center"/>
        <w:rPr/>
      </w:pPr>
      <w:r>
        <w:rPr>
          <w:rFonts w:cs="Arial Narrow" w:ascii="Arial Narrow" w:hAnsi="Arial Narrow"/>
          <w:b/>
        </w:rPr>
        <w:t>тел.980-70-59, 980-70-43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Тарифные ставки по грузовым авиаперевозкам Москва – Южно-Сахалинск:</w:t>
      </w:r>
    </w:p>
    <w:tbl>
      <w:tblPr>
        <w:tblW w:w="9791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1"/>
      </w:tblGrid>
      <w:tr>
        <w:trPr>
          <w:trHeight w:val="618" w:hRule="atLeast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</w:rPr>
              <w:t>Единый тариф (включает в себя: все терминальные обработки а/п вылета и прилета, оформление авианакладной, дополнительную упаковку груза в ПВД, для защиты от влаги и внешних воздействий, маркировку груза и прохождение вет. контроля(при необходимости))</w:t>
            </w:r>
          </w:p>
        </w:tc>
      </w:tr>
      <w:tr>
        <w:trPr>
          <w:trHeight w:val="594" w:hRule="atLeast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C9211E"/>
              </w:rPr>
            </w:pPr>
            <w:r>
              <w:rPr>
                <w:rFonts w:cs="Arial Narrow" w:ascii="Arial Narrow" w:hAnsi="Arial Narrow"/>
                <w:b/>
                <w:color w:val="C9211E"/>
                <w:sz w:val="28"/>
                <w:szCs w:val="28"/>
              </w:rPr>
              <w:t>240 руб.</w:t>
            </w:r>
          </w:p>
        </w:tc>
      </w:tr>
    </w:tbl>
    <w:p>
      <w:pPr>
        <w:pStyle w:val="Normal"/>
        <w:ind w:left="360" w:hanging="0"/>
        <w:rPr/>
      </w:pPr>
      <w:r>
        <w:rPr>
          <w:rFonts w:cs="Arial Narrow" w:ascii="Arial Narrow" w:hAnsi="Arial Narrow"/>
          <w:b/>
        </w:rPr>
        <w:t>*При перевозке тяжеловесного  груза более 100 кг/место – тариф + 15 руб./кг, при перевозке опасного груза + 5000 руб.в отдельных случаях – цена договорная. Длинномеры: 1 место-250 рублей</w:t>
      </w:r>
    </w:p>
    <w:p>
      <w:pPr>
        <w:pStyle w:val="Normal"/>
        <w:ind w:left="360" w:hanging="0"/>
        <w:rPr/>
      </w:pPr>
      <w:r>
        <w:rPr>
          <w:rFonts w:cs="Arial Narrow" w:ascii="Arial Narrow" w:hAnsi="Arial Narrow"/>
          <w:b/>
        </w:rPr>
        <w:t>Объемный груз считается, если в 1 куб. м   менее 167 кг, в данном случае оплата производится из расчета: объем груза умножается на  167 кг, этот вес берется к расчету авиаперевозки.</w:t>
      </w:r>
    </w:p>
    <w:p>
      <w:pPr>
        <w:pStyle w:val="Normal"/>
        <w:ind w:left="360" w:hanging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ind w:left="360" w:hanging="0"/>
        <w:rPr/>
      </w:pPr>
      <w:r>
        <w:rPr>
          <w:rFonts w:cs="Arial Narrow" w:ascii="Arial Narrow" w:hAnsi="Arial Narrow"/>
          <w:b/>
        </w:rPr>
        <w:t>Переупаковка продуктов питания в термопленку (фольгированный тепофол) – 200 руб./место</w:t>
      </w:r>
    </w:p>
    <w:p>
      <w:pPr>
        <w:pStyle w:val="Normal"/>
        <w:ind w:left="360" w:hanging="0"/>
        <w:rPr/>
      </w:pPr>
      <w:r>
        <w:rPr>
          <w:rFonts w:cs="Arial Narrow" w:ascii="Arial Narrow" w:hAnsi="Arial Narrow"/>
          <w:b/>
        </w:rPr>
        <w:t xml:space="preserve">Переупаковка в термобоксы(800*400*230):  1 место-500 рублей, добавление сухого льда: </w:t>
      </w:r>
      <w:r>
        <w:rPr>
          <w:rFonts w:cs="Arial Narrow" w:ascii="Arial Narrow" w:hAnsi="Arial Narrow"/>
          <w:b/>
          <w:lang w:val="en-US"/>
        </w:rPr>
        <w:t xml:space="preserve">250 </w:t>
      </w:r>
      <w:r>
        <w:rPr>
          <w:rFonts w:cs="Arial Narrow" w:ascii="Arial Narrow" w:hAnsi="Arial Narrow"/>
          <w:b/>
          <w:lang w:val="ru-RU"/>
        </w:rPr>
        <w:t>руб./кг</w:t>
      </w:r>
    </w:p>
    <w:p>
      <w:pPr>
        <w:pStyle w:val="Normal"/>
        <w:ind w:left="360" w:hanging="0"/>
        <w:rPr/>
      </w:pPr>
      <w:r>
        <w:rPr>
          <w:rFonts w:cs="Arial Narrow" w:ascii="Arial Narrow" w:hAnsi="Arial Narrow"/>
          <w:b/>
        </w:rPr>
        <w:t xml:space="preserve">Обрешетка груза – до 0,49 м³-500 рублей, от 0,5 м³ до 1,0 м³-1000 рублей и т.д.  </w:t>
      </w:r>
    </w:p>
    <w:p>
      <w:pPr>
        <w:pStyle w:val="Normal"/>
        <w:numPr>
          <w:ilvl w:val="0"/>
          <w:numId w:val="1"/>
        </w:numPr>
        <w:spacing w:before="0" w:after="0"/>
        <w:contextualSpacing/>
        <w:outlineLvl w:val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Авиаперевозки осуществляются по России по всем направлениям. Стоимость авиаперевозки рассчитывается в каждом конкретном случае, согласно письменной заявке.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3.   Тарифные ставки по железнодорожным перевозкам  от ст. Люблино   г. Москвы до г. Холмска: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      </w:t>
      </w:r>
      <w:r>
        <w:rPr>
          <w:rFonts w:cs="Arial Narrow" w:ascii="Arial Narrow" w:hAnsi="Arial Narrow"/>
          <w:b/>
        </w:rPr>
        <w:t>- перевозка в крытом вагоне: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 xml:space="preserve">1 м³  – 5 200 рублей / 1 кг – 20,00 рублей   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>При загрузке в вагон добавляется 10% к объему груза клиента, по нормам  перевозок по железной дороге.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 xml:space="preserve">Доставка груза до терминала ж/д отправки (Москва - Южно-Сахалинск): 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 xml:space="preserve">до 1м3/300кг – 800 рублей                                           5,1м3-7,0м3/1500кг – 2500 рублей 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>1,1м3-2,0м3/500кг – 1300 рублей                                 7,1м3 – 10,0м3/2000кг – 3000 рублей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>2,1м3-3,0м3/800 – 1500 рублей                              Свыше 10,0м3м/2000кг – цена договорная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>3,1м3-5,0м3/1200кг – 1800 рублей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</w:rPr>
        <w:tab/>
        <w:t>Погрузка/разгрузка тяжеловесного груза в Ю-Сахалинске – 350 руб/место, в Москве – 300 руб/место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4.   Тарифные ставки по автотранспортным перевозкам по г. Москве:</w:t>
      </w:r>
    </w:p>
    <w:tbl>
      <w:tblPr>
        <w:tblW w:w="9855" w:type="dxa"/>
        <w:jc w:val="left"/>
        <w:tblInd w:w="3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404"/>
        <w:gridCol w:w="1664"/>
        <w:gridCol w:w="915"/>
        <w:gridCol w:w="1102"/>
        <w:gridCol w:w="1090"/>
        <w:gridCol w:w="1132"/>
      </w:tblGrid>
      <w:tr>
        <w:trPr>
          <w:trHeight w:val="488" w:hRule="atLeast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Тип транспорта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Грузоподъемность (тонн)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Габариты (д*ш*в)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Мин. Заказ (час)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Городской тариф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Общая стоимость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  <w:u w:val="single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  <w:u w:val="single"/>
              </w:rPr>
              <w:t>За МКАД (руб./км)</w:t>
            </w:r>
          </w:p>
        </w:tc>
      </w:tr>
      <w:tr>
        <w:trPr>
          <w:trHeight w:val="150" w:hRule="atLeast"/>
        </w:trPr>
        <w:tc>
          <w:tcPr>
            <w:tcW w:w="2547" w:type="dxa"/>
            <w:vMerge w:val="restart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Легковая (до 1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vMerge w:val="restart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0,1</w:t>
            </w:r>
          </w:p>
        </w:tc>
        <w:tc>
          <w:tcPr>
            <w:tcW w:w="1664" w:type="dxa"/>
            <w:vMerge w:val="restart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1.0 х 1.0 х 1.0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в МКАД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1200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2547" w:type="dxa"/>
            <w:vMerge w:val="continue"/>
            <w:tcBorders>
              <w:lef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</w:r>
          </w:p>
        </w:tc>
        <w:tc>
          <w:tcPr>
            <w:tcW w:w="1404" w:type="dxa"/>
            <w:vMerge w:val="continue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</w:r>
          </w:p>
        </w:tc>
        <w:tc>
          <w:tcPr>
            <w:tcW w:w="1664" w:type="dxa"/>
            <w:vMerge w:val="continue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за МКАД</w:t>
            </w:r>
          </w:p>
        </w:tc>
        <w:tc>
          <w:tcPr>
            <w:tcW w:w="11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2000</w:t>
            </w:r>
          </w:p>
        </w:tc>
        <w:tc>
          <w:tcPr>
            <w:tcW w:w="113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Газель (борт-тент 13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1,5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3.5х 2.0х 1.6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750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4500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20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Газель (еврофургон 17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2,5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4.2х 2.0х 2,0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5600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20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Газель (открытый борт (длинн.)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1,5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6,5х 1,9х -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5600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20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Бычок (до 17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3,5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3,7 х 2.1х 2,2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1000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7000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25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5-тонник (до 17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5 х 2.2х 2,4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1200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8400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25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10-тонник (до 50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6,5 х2,45 х 2,65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1300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11700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35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12-тонник (до 60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8,3 х2,5 х 3,0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1400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12600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40</w:t>
            </w:r>
          </w:p>
        </w:tc>
      </w:tr>
      <w:tr>
        <w:trPr>
          <w:trHeight w:val="307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20-тонник (фура 84 м</w:t>
            </w:r>
            <w:r>
              <w:rPr>
                <w:rFonts w:cs="Arial Narrow" w:ascii="Arial Narrow" w:hAnsi="Arial Narrow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cs="Arial Narrow" w:ascii="Arial Narrow" w:hAnsi="Arial Narrow"/>
                <w:b/>
                <w:bCs/>
                <w:color w:val="000000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20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13.5х2.5х2.5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1600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14400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  <w:bCs/>
                <w:color w:val="000000"/>
              </w:rPr>
            </w:pPr>
            <w:r>
              <w:rPr>
                <w:rFonts w:cs="Arial Narrow" w:ascii="Arial Narrow" w:hAnsi="Arial Narrow"/>
                <w:b/>
                <w:bCs/>
                <w:color w:val="000000"/>
              </w:rPr>
              <w:t>45</w:t>
            </w:r>
          </w:p>
        </w:tc>
      </w:tr>
    </w:tbl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- Экспедирование груза – 500 руб./тонна.</w:t>
      </w:r>
    </w:p>
    <w:p>
      <w:pPr>
        <w:pStyle w:val="Normal"/>
        <w:ind w:left="360" w:hanging="0"/>
        <w:jc w:val="both"/>
        <w:rPr/>
      </w:pPr>
      <w:r>
        <w:rPr>
          <w:rFonts w:cs="Arial Narrow" w:ascii="Arial Narrow" w:hAnsi="Arial Narrow"/>
          <w:b/>
        </w:rPr>
        <w:t>5.    Тарифная ставка по грузовым авиаперевозкам Южно-Сахалинск – Москва составляет: до 25 кг – 200</w:t>
      </w:r>
    </w:p>
    <w:p>
      <w:pPr>
        <w:pStyle w:val="Normal"/>
        <w:ind w:left="360" w:hanging="0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</w:t>
      </w:r>
      <w:r>
        <w:rPr>
          <w:rFonts w:cs="Arial Narrow" w:ascii="Arial Narrow" w:hAnsi="Arial Narrow"/>
          <w:b/>
        </w:rPr>
        <w:t xml:space="preserve">руб./кг от 25 кг и выше - 155 руб./кг. Стоимость накладной и переупаковки входит в тариф. 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</w:t>
      </w:r>
      <w:r>
        <w:rPr>
          <w:rFonts w:cs="Arial Narrow" w:ascii="Arial Narrow" w:hAnsi="Arial Narrow"/>
          <w:b/>
        </w:rPr>
        <w:t>6.    Тарифные ставки по автотранспортным перевозкам по г. Южно-Сахалинску: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   </w:t>
      </w:r>
      <w:r>
        <w:rPr>
          <w:rFonts w:cs="Arial Narrow" w:ascii="Arial Narrow" w:hAnsi="Arial Narrow"/>
          <w:b/>
        </w:rPr>
        <w:t xml:space="preserve">- до 5 кг и 0,1 м3 – 200 рублей;                             от 6 кг до 100 кг и от 0,1 м3 до 1 м3 – 500 рублей                             </w:t>
      </w:r>
    </w:p>
    <w:p>
      <w:pPr>
        <w:pStyle w:val="Normal"/>
        <w:ind w:firstLine="708"/>
        <w:jc w:val="both"/>
        <w:rPr/>
      </w:pPr>
      <w:r>
        <w:rPr>
          <w:rFonts w:cs="Arial Narrow" w:ascii="Arial Narrow" w:hAnsi="Arial Narrow"/>
          <w:b/>
        </w:rPr>
        <w:t>Далее за каждые 100 кг и 0,2 м3 тариф увеличивается на 100 рублей.</w:t>
      </w:r>
    </w:p>
    <w:p>
      <w:pPr>
        <w:pStyle w:val="Normal"/>
        <w:jc w:val="both"/>
        <w:rPr/>
      </w:pPr>
      <w:r>
        <w:rPr>
          <w:rFonts w:eastAsia="Arial Narrow" w:cs="Arial Narrow" w:ascii="Arial Narrow" w:hAnsi="Arial Narrow"/>
          <w:b/>
        </w:rPr>
        <w:t xml:space="preserve">          </w:t>
      </w:r>
    </w:p>
    <w:p>
      <w:pPr>
        <w:pStyle w:val="Normal"/>
        <w:rPr/>
      </w:pPr>
      <w:r>
        <w:rPr>
          <w:rFonts w:eastAsia="Arial Narrow" w:cs="Arial Narrow" w:ascii="Arial Narrow" w:hAnsi="Arial Narrow"/>
          <w:b/>
        </w:rPr>
        <w:t xml:space="preserve">       </w:t>
      </w:r>
      <w:r>
        <w:rPr>
          <w:rFonts w:cs="Arial Narrow" w:ascii="Arial Narrow" w:hAnsi="Arial Narrow"/>
          <w:b/>
        </w:rPr>
        <w:t>Все цены указаны с учетом НДС – 20%</w:t>
      </w:r>
    </w:p>
    <w:p>
      <w:pPr>
        <w:pStyle w:val="Normal"/>
        <w:ind w:right="-27" w:hanging="0"/>
        <w:rPr/>
      </w:pPr>
      <w:r>
        <w:rPr>
          <w:rFonts w:eastAsia="Arial Narrow" w:cs="Arial Narrow" w:ascii="Arial Narrow" w:hAnsi="Arial Narrow"/>
          <w:b/>
        </w:rPr>
        <w:t xml:space="preserve">      </w:t>
      </w:r>
      <w:r>
        <w:rPr>
          <w:rFonts w:cs="Arial Narrow" w:ascii="Arial Narrow" w:hAnsi="Arial Narrow"/>
          <w:b/>
        </w:rPr>
        <w:t xml:space="preserve">Данное Приложение согласования договорной цены вступает в силу с 01.11.2019 года, является  </w:t>
      </w:r>
    </w:p>
    <w:p>
      <w:pPr>
        <w:pStyle w:val="Normal"/>
        <w:ind w:right="-27" w:hanging="0"/>
        <w:rPr>
          <w:rFonts w:ascii="Arial Narrow" w:hAnsi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      </w:t>
      </w:r>
      <w:r>
        <w:rPr>
          <w:rFonts w:cs="Arial Narrow" w:ascii="Arial Narrow" w:hAnsi="Arial Narrow"/>
          <w:b/>
        </w:rPr>
        <w:t xml:space="preserve">основанием для осуществления взаиморасчетов и действует до особого распоряжения либо </w:t>
      </w:r>
    </w:p>
    <w:p>
      <w:pPr>
        <w:pStyle w:val="Normal"/>
        <w:ind w:right="-27" w:hanging="0"/>
        <w:rPr/>
      </w:pPr>
      <w:r>
        <w:rPr>
          <w:rFonts w:eastAsia="Arial Narrow" w:cs="Arial Narrow" w:ascii="Arial Narrow" w:hAnsi="Arial Narrow"/>
          <w:b/>
        </w:rPr>
        <w:t xml:space="preserve">      </w:t>
      </w:r>
      <w:r>
        <w:rPr>
          <w:rFonts w:cs="Arial Narrow" w:ascii="Arial Narrow" w:hAnsi="Arial Narrow"/>
          <w:b/>
        </w:rPr>
        <w:t>подписания его новой редакции.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rFonts w:ascii="Arial Narrow" w:hAnsi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6b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6248a"/>
    <w:rPr>
      <w:rFonts w:ascii="Tahoma" w:hAnsi="Tahoma" w:eastAsia="Times New Roman" w:cs="Tahoma"/>
      <w:sz w:val="16"/>
      <w:szCs w:val="16"/>
      <w:lang w:eastAsia="ru-RU"/>
    </w:rPr>
  </w:style>
  <w:style w:type="character" w:styleId="WW8Num18z0">
    <w:name w:val="WW8Num18z0"/>
    <w:qFormat/>
    <w:rPr>
      <w:sz w:val="20"/>
      <w:szCs w:val="20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6248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8">
    <w:name w:val="WW8Num18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LibreOffice/6.3.0.4$Windows_X86_64 LibreOffice_project/057fc023c990d676a43019934386b85b21a9ee99</Application>
  <Pages>4</Pages>
  <Words>1974</Words>
  <Characters>13871</Characters>
  <CharactersWithSpaces>17025</CharactersWithSpaces>
  <Paragraphs>200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2014-05-13T08:28:00Z</dcterms:created>
  <dc:creator>Fomicheva_MV</dc:creator>
  <dc:description/>
  <dc:language>ru-RU</dc:language>
  <cp:lastModifiedBy/>
  <cp:lastPrinted>2015-06-16T14:32:00Z</cp:lastPrinted>
  <dcterms:modified xsi:type="dcterms:W3CDTF">2019-10-30T13:46:25Z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